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Times New Roman" w:eastAsia="方正小标宋简体"/>
          <w:bCs/>
          <w:color w:val="000000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Times New Roman" w:eastAsia="方正小标宋简体"/>
          <w:bCs/>
          <w:sz w:val="44"/>
          <w:szCs w:val="44"/>
        </w:rPr>
        <w:t>2023-2024年度华南农业大学院级研究生会</w:t>
      </w:r>
      <w:r>
        <w:rPr>
          <w:rFonts w:hint="eastAsia" w:ascii="方正小标宋简体" w:hAnsi="Times New Roman" w:eastAsia="方正小标宋简体"/>
          <w:bCs/>
          <w:color w:val="000000"/>
          <w:sz w:val="44"/>
          <w:szCs w:val="44"/>
        </w:rPr>
        <w:t>工作考核评优表</w:t>
      </w:r>
    </w:p>
    <w:p>
      <w:pPr>
        <w:snapToGrid w:val="0"/>
        <w:jc w:val="center"/>
        <w:rPr>
          <w:rFonts w:ascii="方正黑体_GBK" w:hAnsi="Times New Roman" w:eastAsia="方正黑体_GBK"/>
          <w:bCs/>
          <w:szCs w:val="21"/>
        </w:rPr>
      </w:pPr>
      <w:r>
        <w:rPr>
          <w:rFonts w:hint="eastAsia" w:ascii="方正黑体_GBK" w:hAnsi="Times New Roman" w:eastAsia="方正黑体_GBK"/>
          <w:bCs/>
          <w:szCs w:val="21"/>
        </w:rPr>
        <w:t>单位：</w:t>
      </w:r>
      <w:r>
        <w:rPr>
          <w:rFonts w:hint="eastAsia" w:ascii="方正黑体_GBK" w:hAnsi="Times New Roman" w:eastAsia="方正黑体_GBK"/>
          <w:bCs/>
          <w:szCs w:val="21"/>
          <w:u w:val="single"/>
        </w:rPr>
        <w:t xml:space="preserve">             </w:t>
      </w:r>
      <w:r>
        <w:rPr>
          <w:rFonts w:hint="eastAsia" w:ascii="方正黑体_GBK" w:hAnsi="Times New Roman" w:eastAsia="方正黑体_GBK"/>
          <w:bCs/>
          <w:szCs w:val="21"/>
        </w:rPr>
        <w:t xml:space="preserve">  团委（盖章）                     日期：</w:t>
      </w:r>
      <w:r>
        <w:rPr>
          <w:rFonts w:hint="eastAsia" w:ascii="方正黑体_GBK" w:hAnsi="Times New Roman" w:eastAsia="方正黑体_GBK"/>
          <w:bCs/>
          <w:szCs w:val="21"/>
          <w:u w:val="single"/>
        </w:rPr>
        <w:t xml:space="preserve">      </w:t>
      </w:r>
      <w:r>
        <w:rPr>
          <w:rFonts w:hint="eastAsia" w:ascii="方正黑体_GBK" w:hAnsi="Times New Roman" w:eastAsia="方正黑体_GBK"/>
          <w:bCs/>
          <w:szCs w:val="21"/>
        </w:rPr>
        <w:t>年</w:t>
      </w:r>
      <w:r>
        <w:rPr>
          <w:rFonts w:hint="eastAsia" w:ascii="方正黑体_GBK" w:hAnsi="Times New Roman" w:eastAsia="方正黑体_GBK"/>
          <w:bCs/>
          <w:szCs w:val="21"/>
          <w:u w:val="single"/>
        </w:rPr>
        <w:t xml:space="preserve">      </w:t>
      </w:r>
      <w:r>
        <w:rPr>
          <w:rFonts w:hint="eastAsia" w:ascii="方正黑体_GBK" w:hAnsi="Times New Roman" w:eastAsia="方正黑体_GBK"/>
          <w:bCs/>
          <w:szCs w:val="21"/>
        </w:rPr>
        <w:t>月</w:t>
      </w:r>
    </w:p>
    <w:tbl>
      <w:tblPr>
        <w:tblStyle w:val="3"/>
        <w:tblpPr w:leftFromText="180" w:rightFromText="180" w:vertAnchor="text" w:horzAnchor="margin" w:tblpXSpec="center" w:tblpY="294"/>
        <w:tblOverlap w:val="never"/>
        <w:tblW w:w="104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0"/>
        <w:gridCol w:w="1134"/>
        <w:gridCol w:w="5886"/>
        <w:gridCol w:w="533"/>
        <w:gridCol w:w="533"/>
        <w:gridCol w:w="13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060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考  核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项  目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考  核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内  容</w:t>
            </w:r>
          </w:p>
        </w:tc>
        <w:tc>
          <w:tcPr>
            <w:tcW w:w="588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考核指标</w:t>
            </w:r>
          </w:p>
        </w:tc>
        <w:tc>
          <w:tcPr>
            <w:tcW w:w="1066" w:type="dxa"/>
            <w:gridSpan w:val="2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得分</w:t>
            </w:r>
          </w:p>
        </w:tc>
        <w:tc>
          <w:tcPr>
            <w:tcW w:w="1310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支撑材料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60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</w:p>
        </w:tc>
        <w:tc>
          <w:tcPr>
            <w:tcW w:w="588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</w:p>
        </w:tc>
        <w:tc>
          <w:tcPr>
            <w:tcW w:w="533" w:type="dxa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自评</w:t>
            </w:r>
          </w:p>
        </w:tc>
        <w:tc>
          <w:tcPr>
            <w:tcW w:w="533" w:type="dxa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审核</w:t>
            </w:r>
          </w:p>
        </w:tc>
        <w:tc>
          <w:tcPr>
            <w:tcW w:w="1310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</w:trPr>
        <w:tc>
          <w:tcPr>
            <w:tcW w:w="1060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A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思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想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引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领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（25分）</w:t>
            </w:r>
          </w:p>
        </w:tc>
        <w:tc>
          <w:tcPr>
            <w:tcW w:w="1134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主题教育</w:t>
            </w:r>
          </w:p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（6分）</w:t>
            </w:r>
          </w:p>
        </w:tc>
        <w:tc>
          <w:tcPr>
            <w:tcW w:w="5886" w:type="dxa"/>
            <w:vAlign w:val="center"/>
          </w:tcPr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1.传达党的声音和主张，承办或协助学院党委举办“树理想·重品行·守纪律”、“我的中国梦”——“立志·修身·博学·报国”等主题教育活动，每次活动计2分，满分6分。</w:t>
            </w:r>
          </w:p>
        </w:tc>
        <w:tc>
          <w:tcPr>
            <w:tcW w:w="533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33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1310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新闻材料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</w:trPr>
        <w:tc>
          <w:tcPr>
            <w:tcW w:w="1060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评奖评优</w:t>
            </w:r>
          </w:p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（13分）</w:t>
            </w:r>
          </w:p>
        </w:tc>
        <w:tc>
          <w:tcPr>
            <w:tcW w:w="5886" w:type="dxa"/>
            <w:vAlign w:val="center"/>
          </w:tcPr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2.学院研究生会获得省“优秀学生会”的，计7分/个；研究生会工作人员获得省级“优秀学生骨干”的，计5分/个。</w:t>
            </w:r>
          </w:p>
        </w:tc>
        <w:tc>
          <w:tcPr>
            <w:tcW w:w="533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33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1310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省学联、学校表彰发文</w:t>
            </w:r>
          </w:p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  <w:highlight w:val="yellow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（评审当年的上一年度文件）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</w:trPr>
        <w:tc>
          <w:tcPr>
            <w:tcW w:w="1060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宣传报道</w:t>
            </w:r>
          </w:p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（</w:t>
            </w:r>
            <w:r>
              <w:rPr>
                <w:rFonts w:hint="eastAsia" w:ascii="方正楷体_GBK" w:hAnsi="Times New Roman" w:eastAsia="方正楷体_GBK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6分</w:t>
            </w:r>
            <w:r>
              <w:rPr>
                <w:rFonts w:hint="eastAsia" w:ascii="方正楷体_GBK" w:hAnsi="Times New Roman" w:eastAsia="方正楷体_GBK"/>
                <w:bCs/>
                <w:szCs w:val="21"/>
              </w:rPr>
              <w:t>）</w:t>
            </w:r>
          </w:p>
        </w:tc>
        <w:tc>
          <w:tcPr>
            <w:tcW w:w="5886" w:type="dxa"/>
            <w:vAlign w:val="center"/>
          </w:tcPr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 xml:space="preserve">3.学院研究生会规范管理微信、微博等新媒体账号和后台，加强对网站、新媒体和印发刊物的管理，完善重要信息发布审核机制，落实“三校三审”制度，落实计3分，没有不计分。 </w:t>
            </w:r>
          </w:p>
        </w:tc>
        <w:tc>
          <w:tcPr>
            <w:tcW w:w="533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33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1310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校团委和校研究生会工作记录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</w:trPr>
        <w:tc>
          <w:tcPr>
            <w:tcW w:w="1060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886" w:type="dxa"/>
            <w:vAlign w:val="center"/>
          </w:tcPr>
          <w:p>
            <w:pPr>
              <w:pStyle w:val="5"/>
              <w:snapToGrid w:val="0"/>
              <w:ind w:firstLine="0" w:firstLineChars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4.学院研究生会学习宣传贯彻习近平新时代中国特色社会主义思想，新媒体账号转发人民日报、广东共青团、广东学联等官方推送，每篇0.5分，满分3分，每月转发2篇以上的，按2篇计分，没有不计分。</w:t>
            </w:r>
          </w:p>
        </w:tc>
        <w:tc>
          <w:tcPr>
            <w:tcW w:w="533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33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1310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推文截图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1060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B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组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织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建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设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（28分）</w:t>
            </w:r>
          </w:p>
          <w:p>
            <w:pPr>
              <w:snapToGrid w:val="0"/>
              <w:rPr>
                <w:rFonts w:ascii="方正黑体_GBK" w:hAnsi="Times New Roman" w:eastAsia="方正黑体_GBK"/>
                <w:bCs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研究生代表大会</w:t>
            </w:r>
          </w:p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（5分）</w:t>
            </w:r>
          </w:p>
        </w:tc>
        <w:tc>
          <w:tcPr>
            <w:tcW w:w="5886" w:type="dxa"/>
            <w:vAlign w:val="center"/>
          </w:tcPr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5.按照省学联及学校要求，规范召开研究生代表大会，学院研究生代表大会原则上每年召开一次，完成计5分，未完成不计分。</w:t>
            </w:r>
          </w:p>
        </w:tc>
        <w:tc>
          <w:tcPr>
            <w:tcW w:w="533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33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1310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校研究生会备案记录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60" w:type="dxa"/>
            <w:vMerge w:val="continue"/>
            <w:vAlign w:val="center"/>
          </w:tcPr>
          <w:p>
            <w:pPr>
              <w:snapToGrid w:val="0"/>
              <w:rPr>
                <w:rFonts w:ascii="方正黑体_GBK" w:hAnsi="Times New Roman" w:eastAsia="方正黑体_GBK"/>
                <w:bCs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制度建设</w:t>
            </w:r>
          </w:p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（11分）</w:t>
            </w:r>
          </w:p>
        </w:tc>
        <w:tc>
          <w:tcPr>
            <w:tcW w:w="5886" w:type="dxa"/>
            <w:vAlign w:val="center"/>
          </w:tcPr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6.严格研究生会工作人员遴选程序，落实学校对人员遴选条件的要求，选拔过程公开透明、公平竞争，选拔结果进行公示，接受广大同学监督，完成计4分，未完成不计分。</w:t>
            </w:r>
          </w:p>
        </w:tc>
        <w:tc>
          <w:tcPr>
            <w:tcW w:w="533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</w:rPr>
            </w:pPr>
          </w:p>
        </w:tc>
        <w:tc>
          <w:tcPr>
            <w:tcW w:w="533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</w:rPr>
            </w:pPr>
          </w:p>
        </w:tc>
        <w:tc>
          <w:tcPr>
            <w:tcW w:w="1310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</w:rPr>
            </w:pPr>
            <w:r>
              <w:rPr>
                <w:rFonts w:hint="eastAsia" w:ascii="方正楷体_GBK" w:hAnsi="Times New Roman" w:eastAsia="方正楷体_GBK"/>
                <w:bCs/>
              </w:rPr>
              <w:t>相关文件、通知等；</w:t>
            </w:r>
            <w:r>
              <w:rPr>
                <w:rFonts w:hint="eastAsia" w:ascii="方正楷体_GBK" w:hAnsi="Times New Roman" w:eastAsia="方正楷体_GBK"/>
                <w:bCs/>
                <w:szCs w:val="21"/>
              </w:rPr>
              <w:t>校团委备案记录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60" w:type="dxa"/>
            <w:vMerge w:val="continue"/>
            <w:vAlign w:val="center"/>
          </w:tcPr>
          <w:p>
            <w:pPr>
              <w:snapToGrid w:val="0"/>
              <w:rPr>
                <w:rFonts w:ascii="方正黑体_GBK" w:hAnsi="Times New Roman" w:eastAsia="方正黑体_GBK"/>
                <w:bCs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886" w:type="dxa"/>
            <w:vAlign w:val="center"/>
          </w:tcPr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7.建立研究生会工作人员述职评议制度，组建评议会，研究生会主席团成员和工作部门负责人每学期向评议会述职，完成2次计 3分，完成1次计1分，未完成不计分。</w:t>
            </w:r>
          </w:p>
        </w:tc>
        <w:tc>
          <w:tcPr>
            <w:tcW w:w="533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</w:rPr>
            </w:pPr>
          </w:p>
        </w:tc>
        <w:tc>
          <w:tcPr>
            <w:tcW w:w="533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</w:rPr>
            </w:pPr>
          </w:p>
        </w:tc>
        <w:tc>
          <w:tcPr>
            <w:tcW w:w="1310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</w:rPr>
            </w:pPr>
            <w:r>
              <w:rPr>
                <w:rFonts w:hint="eastAsia" w:ascii="方正楷体_GBK" w:hAnsi="Times New Roman" w:eastAsia="方正楷体_GBK"/>
                <w:bCs/>
              </w:rPr>
              <w:t>相关文件；新闻材料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60" w:type="dxa"/>
            <w:vMerge w:val="continue"/>
            <w:vAlign w:val="center"/>
          </w:tcPr>
          <w:p>
            <w:pPr>
              <w:snapToGrid w:val="0"/>
              <w:rPr>
                <w:rFonts w:ascii="方正黑体_GBK" w:hAnsi="Times New Roman" w:eastAsia="方正黑体_GBK"/>
                <w:bCs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886" w:type="dxa"/>
            <w:vAlign w:val="center"/>
          </w:tcPr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8.学院研究生会决定机构、人事、财务等重要事项或开展重大活动（涉及到研究生会举办或参与的，在院内有影响力的活动），须事先向院团委报告后报备校团委，1次未报扣2分，满分4分，扣完为止。</w:t>
            </w:r>
          </w:p>
        </w:tc>
        <w:tc>
          <w:tcPr>
            <w:tcW w:w="533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33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1310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校团委和校研究生会备案记录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60" w:type="dxa"/>
            <w:vMerge w:val="continue"/>
            <w:vAlign w:val="center"/>
          </w:tcPr>
          <w:p>
            <w:pPr>
              <w:snapToGrid w:val="0"/>
              <w:rPr>
                <w:rFonts w:ascii="方正黑体_GBK" w:hAnsi="Times New Roman" w:eastAsia="方正黑体_GBK"/>
                <w:bCs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队伍建设</w:t>
            </w:r>
          </w:p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（12分）</w:t>
            </w:r>
          </w:p>
        </w:tc>
        <w:tc>
          <w:tcPr>
            <w:tcW w:w="5886" w:type="dxa"/>
            <w:vAlign w:val="center"/>
          </w:tcPr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9.研究生会工作人员按时参加校研究生会及各部门组织的工作例会、学习会等，并积极交流学习，缺席一次扣0.5分，请假满2次扣0.5分，满分2.5分，扣完为止。</w:t>
            </w:r>
          </w:p>
        </w:tc>
        <w:tc>
          <w:tcPr>
            <w:tcW w:w="533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</w:rPr>
            </w:pPr>
          </w:p>
        </w:tc>
        <w:tc>
          <w:tcPr>
            <w:tcW w:w="533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</w:rPr>
            </w:pPr>
          </w:p>
        </w:tc>
        <w:tc>
          <w:tcPr>
            <w:tcW w:w="1310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</w:rPr>
            </w:pPr>
            <w:r>
              <w:rPr>
                <w:rFonts w:hint="eastAsia" w:ascii="方正楷体_GBK" w:hAnsi="Times New Roman" w:eastAsia="方正楷体_GBK"/>
                <w:bCs/>
              </w:rPr>
              <w:t>校研究生会工作记录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60" w:type="dxa"/>
            <w:vMerge w:val="continue"/>
            <w:vAlign w:val="center"/>
          </w:tcPr>
          <w:p>
            <w:pPr>
              <w:snapToGrid w:val="0"/>
              <w:rPr>
                <w:rFonts w:ascii="方正黑体_GBK" w:hAnsi="Times New Roman" w:eastAsia="方正黑体_GBK"/>
                <w:bCs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886" w:type="dxa"/>
            <w:vAlign w:val="center"/>
          </w:tcPr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10.落实《学生会研究生会干部自律公约》，加强日常教育和管理，开展院班两级学生骨干全员培训（含参加校学生会组织的培训），各类培训的次数达到三次及以上计3分，两次计1.5分，一次计0.5分，没有不得分。</w:t>
            </w:r>
          </w:p>
        </w:tc>
        <w:tc>
          <w:tcPr>
            <w:tcW w:w="533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</w:rPr>
            </w:pPr>
          </w:p>
        </w:tc>
        <w:tc>
          <w:tcPr>
            <w:tcW w:w="533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</w:rPr>
            </w:pPr>
          </w:p>
        </w:tc>
        <w:tc>
          <w:tcPr>
            <w:tcW w:w="1310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</w:rPr>
            </w:pPr>
            <w:r>
              <w:rPr>
                <w:rFonts w:hint="eastAsia" w:ascii="方正楷体_GBK" w:hAnsi="Times New Roman" w:eastAsia="方正楷体_GBK"/>
                <w:bCs/>
              </w:rPr>
              <w:t>新闻材料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060" w:type="dxa"/>
            <w:vMerge w:val="continue"/>
            <w:vAlign w:val="center"/>
          </w:tcPr>
          <w:p>
            <w:pPr>
              <w:snapToGrid w:val="0"/>
              <w:rPr>
                <w:rFonts w:ascii="方正黑体_GBK" w:hAnsi="Times New Roman" w:eastAsia="方正黑体_GBK"/>
                <w:bCs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886" w:type="dxa"/>
            <w:vAlign w:val="center"/>
          </w:tcPr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11. 研究生会工作人员出现违规违纪、道德失范以及与学生不相称行为等问题的，一次扣2分，满分4分，扣完为止。</w:t>
            </w:r>
          </w:p>
        </w:tc>
        <w:tc>
          <w:tcPr>
            <w:tcW w:w="533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</w:rPr>
            </w:pPr>
          </w:p>
        </w:tc>
        <w:tc>
          <w:tcPr>
            <w:tcW w:w="533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</w:rPr>
            </w:pPr>
          </w:p>
        </w:tc>
        <w:tc>
          <w:tcPr>
            <w:tcW w:w="1310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</w:rPr>
            </w:pPr>
            <w:r>
              <w:rPr>
                <w:rFonts w:hint="eastAsia" w:ascii="方正楷体_GBK" w:hAnsi="Times New Roman" w:eastAsia="方正楷体_GBK"/>
                <w:bCs/>
              </w:rPr>
              <w:t>学校材料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60" w:type="dxa"/>
            <w:vMerge w:val="continue"/>
            <w:vAlign w:val="center"/>
          </w:tcPr>
          <w:p>
            <w:pPr>
              <w:snapToGrid w:val="0"/>
              <w:rPr>
                <w:rFonts w:ascii="方正黑体_GBK" w:hAnsi="Times New Roman" w:eastAsia="方正黑体_GBK"/>
                <w:bCs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886" w:type="dxa"/>
            <w:vAlign w:val="center"/>
          </w:tcPr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12.按要求报</w:t>
            </w:r>
            <w:r>
              <w:rPr>
                <w:rFonts w:hint="eastAsia" w:ascii="方正楷体_GBK" w:hAnsi="Times New Roman" w:eastAsia="方正楷体_GBK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送材料。每</w:t>
            </w:r>
            <w:r>
              <w:rPr>
                <w:rFonts w:hint="eastAsia" w:ascii="方正楷体_GBK" w:hAnsi="Times New Roman" w:eastAsia="方正楷体_GBK"/>
                <w:bCs/>
                <w:szCs w:val="21"/>
              </w:rPr>
              <w:t>项材料按照A、B、C、D四个等级进行登记， A等级为首次报送材料无误， B等级为第二次报送无误， C等级为第三次报送无误，D等级为四次及以上报送。最后根据学院报校学生会送材料的A、B、C、D等级数量计算该学院得分：A等级分值为1.5分，B等级分值为1分，C等级分值为0.5分，D等级分值为0。一年所需交材料数量为n项，某学院一年共获得k个A、r个B、s个C，t个D，那么该学院得分=2*k/n+1*r/n+0.5*s/n+0*t/n，材料未按时提交列为B等级）。</w:t>
            </w:r>
          </w:p>
        </w:tc>
        <w:tc>
          <w:tcPr>
            <w:tcW w:w="533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</w:rPr>
            </w:pPr>
          </w:p>
        </w:tc>
        <w:tc>
          <w:tcPr>
            <w:tcW w:w="533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</w:rPr>
            </w:pPr>
          </w:p>
        </w:tc>
        <w:tc>
          <w:tcPr>
            <w:tcW w:w="1310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</w:rPr>
            </w:pPr>
            <w:r>
              <w:rPr>
                <w:rFonts w:hint="eastAsia" w:ascii="方正楷体_GBK" w:hAnsi="Times New Roman" w:eastAsia="方正楷体_GBK"/>
                <w:bCs/>
              </w:rPr>
              <w:t>校研究生会工作记录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7" w:hRule="atLeast"/>
        </w:trPr>
        <w:tc>
          <w:tcPr>
            <w:tcW w:w="1060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C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联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系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服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务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同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学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（24分）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服务举措</w:t>
            </w:r>
          </w:p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（10分）</w:t>
            </w:r>
          </w:p>
        </w:tc>
        <w:tc>
          <w:tcPr>
            <w:tcW w:w="5886" w:type="dxa"/>
            <w:vAlign w:val="center"/>
          </w:tcPr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13.紧密联系同学，搭建有效渠道，听取、收集同学在学业发展、身心健康、社会融入等方面的普遍需求和现实困难，（如实地调研、摆摊、问卷调查、线下信箱、线上公众号等），提供五种及以上计5分，四种计4分，三种计3分,两种计1.5分，一种计0.5分，未提供不计分。</w:t>
            </w:r>
          </w:p>
        </w:tc>
        <w:tc>
          <w:tcPr>
            <w:tcW w:w="533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33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1310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截图或照片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1060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886" w:type="dxa"/>
            <w:vAlign w:val="center"/>
          </w:tcPr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14.帮助解决或反馈同学的普遍需求和现实困难，形成报告或方案等文字和图片材料，一份计1分，满分5分。</w:t>
            </w:r>
          </w:p>
        </w:tc>
        <w:tc>
          <w:tcPr>
            <w:tcW w:w="533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33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1310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报告等材料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060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权益维护</w:t>
            </w:r>
          </w:p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（4分）</w:t>
            </w:r>
          </w:p>
        </w:tc>
        <w:tc>
          <w:tcPr>
            <w:tcW w:w="5886" w:type="dxa"/>
            <w:vAlign w:val="center"/>
          </w:tcPr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15.开展学院的权益维护活动（如院长有约、社区有约等），开展一次计1分，满分4分。</w:t>
            </w:r>
          </w:p>
        </w:tc>
        <w:tc>
          <w:tcPr>
            <w:tcW w:w="533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33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1310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新闻材料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" w:hRule="atLeast"/>
        </w:trPr>
        <w:tc>
          <w:tcPr>
            <w:tcW w:w="106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</w:p>
        </w:tc>
        <w:tc>
          <w:tcPr>
            <w:tcW w:w="1134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校长有约</w:t>
            </w:r>
          </w:p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（10分）</w:t>
            </w:r>
          </w:p>
        </w:tc>
        <w:tc>
          <w:tcPr>
            <w:tcW w:w="5886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16.积极配合校长有约活动，联合宣传（线上或线下）并协助收集提案，线下宣传计1分，线上宣传计1分，协助收集有效提案计2分（按经筛选后列入每期校长有约备选提案计，有则计分，无则不计分），满分6分，没有不计分。</w:t>
            </w:r>
          </w:p>
        </w:tc>
        <w:tc>
          <w:tcPr>
            <w:tcW w:w="533" w:type="dxa"/>
            <w:tcBorders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33" w:type="dxa"/>
            <w:tcBorders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1310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提供相关照片或截图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60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</w:p>
        </w:tc>
        <w:tc>
          <w:tcPr>
            <w:tcW w:w="1134" w:type="dxa"/>
            <w:vMerge w:val="continue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886" w:type="dxa"/>
            <w:vAlign w:val="center"/>
          </w:tcPr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17.提案质量高，被选中为“校长有约”热点提案，一个热点提案计2分，满分4分，没有不得分。</w:t>
            </w:r>
          </w:p>
        </w:tc>
        <w:tc>
          <w:tcPr>
            <w:tcW w:w="533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</w:rPr>
            </w:pPr>
          </w:p>
        </w:tc>
        <w:tc>
          <w:tcPr>
            <w:tcW w:w="533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</w:rPr>
            </w:pPr>
          </w:p>
        </w:tc>
        <w:tc>
          <w:tcPr>
            <w:tcW w:w="1310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  <w:highlight w:val="yellow"/>
              </w:rPr>
            </w:pPr>
            <w:r>
              <w:rPr>
                <w:rFonts w:hint="eastAsia" w:ascii="方正楷体_GBK" w:hAnsi="Times New Roman" w:eastAsia="方正楷体_GBK"/>
                <w:bCs/>
              </w:rPr>
              <w:t>校研究生会工作记录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60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D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学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风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舍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风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（10分）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学风建设</w:t>
            </w:r>
          </w:p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（5分）</w:t>
            </w:r>
          </w:p>
        </w:tc>
        <w:tc>
          <w:tcPr>
            <w:tcW w:w="5886" w:type="dxa"/>
            <w:vAlign w:val="center"/>
          </w:tcPr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18.配合学院开展学风建设工作，有计2分，无不计分。</w:t>
            </w:r>
          </w:p>
        </w:tc>
        <w:tc>
          <w:tcPr>
            <w:tcW w:w="533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33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1310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相关文件或活动照片、活动通知等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60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886" w:type="dxa"/>
            <w:vAlign w:val="center"/>
          </w:tcPr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19.举办特色学术活动（如辩论赛、专业知识竞赛等）或学习交流会，举办三次及以上计3分,两次计1.5分，一次计1分，未举办不计分。</w:t>
            </w:r>
          </w:p>
        </w:tc>
        <w:tc>
          <w:tcPr>
            <w:tcW w:w="533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33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1310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新闻材料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60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宿舍建设</w:t>
            </w:r>
          </w:p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（5分）</w:t>
            </w:r>
          </w:p>
        </w:tc>
        <w:tc>
          <w:tcPr>
            <w:tcW w:w="5886" w:type="dxa"/>
            <w:vAlign w:val="center"/>
          </w:tcPr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20.配合学院制定宿舍安全和卫生检查细则，每月进行一次检查并在院内通报，全部完成计3分，缺一次扣0.5分。</w:t>
            </w:r>
          </w:p>
        </w:tc>
        <w:tc>
          <w:tcPr>
            <w:tcW w:w="533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33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1310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通报截图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60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886" w:type="dxa"/>
            <w:vAlign w:val="center"/>
          </w:tcPr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21.开展宿舍文化建设，举办如宿舍文化节等活动，开展一次计1分，满分2分。</w:t>
            </w:r>
          </w:p>
        </w:tc>
        <w:tc>
          <w:tcPr>
            <w:tcW w:w="533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33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1310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60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E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文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体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活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动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（15分）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文体活动</w:t>
            </w:r>
          </w:p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（15分）</w:t>
            </w:r>
          </w:p>
        </w:tc>
        <w:tc>
          <w:tcPr>
            <w:tcW w:w="5886" w:type="dxa"/>
            <w:vAlign w:val="center"/>
          </w:tcPr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22.举办以社区或学院为单位的文体活动，每次计1分，满分3分，未举办不计分。</w:t>
            </w:r>
          </w:p>
        </w:tc>
        <w:tc>
          <w:tcPr>
            <w:tcW w:w="533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33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1310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活动图片、新闻材料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60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886" w:type="dxa"/>
            <w:vAlign w:val="center"/>
          </w:tcPr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23.组织学生参加校研究生会举办的活动，如：校园十大歌手大赛等，每次计1分，满分4分，没有不计分。</w:t>
            </w:r>
          </w:p>
        </w:tc>
        <w:tc>
          <w:tcPr>
            <w:tcW w:w="533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33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1310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活动通知、公告等截图，并提交参与活动的学生名单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60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886" w:type="dxa"/>
            <w:vAlign w:val="center"/>
          </w:tcPr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24.承办或协办校学生会举办的大型活动，校级每项计3分，省市级每项计6分，满分6分，未承办不计分。</w:t>
            </w:r>
          </w:p>
        </w:tc>
        <w:tc>
          <w:tcPr>
            <w:tcW w:w="533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33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1310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通知或图片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1060" w:type="dxa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合计</w:t>
            </w:r>
          </w:p>
        </w:tc>
        <w:tc>
          <w:tcPr>
            <w:tcW w:w="1134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（100分）</w:t>
            </w:r>
          </w:p>
        </w:tc>
        <w:tc>
          <w:tcPr>
            <w:tcW w:w="5886" w:type="dxa"/>
            <w:vAlign w:val="center"/>
          </w:tcPr>
          <w:p>
            <w:pPr>
              <w:snapToGrid w:val="0"/>
              <w:jc w:val="left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1.各学院研究生会按照表中内容进行自评，除备注需要另外填写表格的项目外，在备注项对得分情况进行简单说明；</w:t>
            </w:r>
          </w:p>
          <w:p>
            <w:pPr>
              <w:snapToGrid w:val="0"/>
              <w:jc w:val="left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2.除校研究生会考核项外，其余项须提交证明材料；</w:t>
            </w:r>
          </w:p>
          <w:p>
            <w:pPr>
              <w:snapToGrid w:val="0"/>
              <w:jc w:val="left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3.请各学院研究生会如实自评，提交真实材料。若有作假，经查实，取消本次评优资格；</w:t>
            </w:r>
          </w:p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4.本次评优条例的最终解释权归校团委和校研究生会所有。</w:t>
            </w:r>
          </w:p>
        </w:tc>
        <w:tc>
          <w:tcPr>
            <w:tcW w:w="533" w:type="dxa"/>
          </w:tcPr>
          <w:p>
            <w:pPr>
              <w:snapToGrid w:val="0"/>
              <w:rPr>
                <w:rFonts w:ascii="方正楷体_GBK" w:eastAsia="方正楷体_GBK" w:cs="Calibri"/>
                <w:bCs/>
                <w:szCs w:val="21"/>
                <w:lang w:bidi="ar"/>
              </w:rPr>
            </w:pPr>
          </w:p>
        </w:tc>
        <w:tc>
          <w:tcPr>
            <w:tcW w:w="533" w:type="dxa"/>
          </w:tcPr>
          <w:p>
            <w:pPr>
              <w:snapToGrid w:val="0"/>
              <w:rPr>
                <w:rFonts w:ascii="方正楷体_GBK" w:eastAsia="方正楷体_GBK" w:cs="Calibri"/>
                <w:bCs/>
                <w:szCs w:val="21"/>
                <w:lang w:bidi="ar"/>
              </w:rPr>
            </w:pPr>
          </w:p>
        </w:tc>
        <w:tc>
          <w:tcPr>
            <w:tcW w:w="1310" w:type="dxa"/>
            <w:vAlign w:val="center"/>
          </w:tcPr>
          <w:p>
            <w:pPr>
              <w:snapToGrid w:val="0"/>
              <w:rPr>
                <w:rFonts w:ascii="方正楷体_GBK" w:hAnsi="Times New Roman" w:eastAsia="方正楷体_GBK" w:cs="方正仿宋_GBK"/>
                <w:bCs/>
                <w:szCs w:val="21"/>
                <w:lang w:bidi="ar"/>
              </w:rPr>
            </w:pPr>
            <w:r>
              <w:rPr>
                <w:rFonts w:hint="eastAsia" w:ascii="方正楷体_GBK" w:eastAsia="方正楷体_GBK" w:cs="Calibri"/>
                <w:bCs/>
                <w:szCs w:val="21"/>
                <w:lang w:bidi="ar"/>
              </w:rPr>
              <w:t>1.</w:t>
            </w:r>
            <w:r>
              <w:rPr>
                <w:rFonts w:hint="eastAsia" w:ascii="方正楷体_GBK" w:hAnsi="Times New Roman" w:eastAsia="方正楷体_GBK" w:cs="方正仿宋_GBK"/>
                <w:bCs/>
                <w:szCs w:val="21"/>
                <w:lang w:bidi="ar"/>
              </w:rPr>
              <w:t>所提交的截图或活动图片请以活动名称命名。</w:t>
            </w:r>
          </w:p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eastAsia="方正楷体_GBK" w:cs="Calibri"/>
                <w:bCs/>
                <w:szCs w:val="21"/>
                <w:lang w:bidi="ar"/>
              </w:rPr>
              <w:t>2.</w:t>
            </w:r>
            <w:r>
              <w:rPr>
                <w:rFonts w:hint="eastAsia" w:ascii="方正楷体_GBK" w:hAnsi="Times New Roman" w:eastAsia="方正楷体_GBK" w:cs="方正仿宋_GBK"/>
                <w:bCs/>
                <w:szCs w:val="21"/>
                <w:lang w:bidi="ar"/>
              </w:rPr>
              <w:t>图片需清晰看到活动名称或平台账号名称（如微信公众号名称）、发布时间等方为有效。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9" w:hRule="atLeast"/>
        </w:trPr>
        <w:tc>
          <w:tcPr>
            <w:tcW w:w="1060" w:type="dxa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研究生会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指导老师意见</w:t>
            </w:r>
          </w:p>
        </w:tc>
        <w:tc>
          <w:tcPr>
            <w:tcW w:w="9396" w:type="dxa"/>
            <w:gridSpan w:val="5"/>
          </w:tcPr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（注：100字左右。）</w:t>
            </w:r>
          </w:p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</w:p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</w:p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</w:p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</w:p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</w:p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</w:p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</w:p>
          <w:p>
            <w:pPr>
              <w:wordWrap w:val="0"/>
              <w:snapToGrid w:val="0"/>
              <w:ind w:right="630"/>
              <w:jc w:val="right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 xml:space="preserve">签字：       </w:t>
            </w:r>
          </w:p>
          <w:p>
            <w:pPr>
              <w:wordWrap w:val="0"/>
              <w:snapToGrid w:val="0"/>
              <w:ind w:right="630"/>
              <w:jc w:val="right"/>
              <w:rPr>
                <w:rFonts w:ascii="方正楷体_GBK" w:eastAsia="方正楷体_GBK" w:cs="Calibri"/>
                <w:bCs/>
                <w:szCs w:val="21"/>
                <w:lang w:bidi="ar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 xml:space="preserve">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66" w:hRule="atLeast"/>
        </w:trPr>
        <w:tc>
          <w:tcPr>
            <w:tcW w:w="1060" w:type="dxa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学院团委 意见</w:t>
            </w:r>
          </w:p>
        </w:tc>
        <w:tc>
          <w:tcPr>
            <w:tcW w:w="9396" w:type="dxa"/>
            <w:gridSpan w:val="5"/>
          </w:tcPr>
          <w:p>
            <w:pPr>
              <w:snapToGrid w:val="0"/>
              <w:ind w:right="1890"/>
              <w:jc w:val="right"/>
              <w:rPr>
                <w:rFonts w:ascii="方正楷体_GBK" w:hAnsi="Times New Roman" w:eastAsia="方正楷体_GBK"/>
                <w:bCs/>
                <w:szCs w:val="21"/>
              </w:rPr>
            </w:pPr>
          </w:p>
          <w:p>
            <w:pPr>
              <w:snapToGrid w:val="0"/>
              <w:ind w:right="1890"/>
              <w:jc w:val="right"/>
              <w:rPr>
                <w:rFonts w:ascii="方正楷体_GBK" w:hAnsi="Times New Roman" w:eastAsia="方正楷体_GBK"/>
                <w:bCs/>
                <w:szCs w:val="21"/>
              </w:rPr>
            </w:pPr>
          </w:p>
          <w:p>
            <w:pPr>
              <w:snapToGrid w:val="0"/>
              <w:ind w:right="1890"/>
              <w:jc w:val="right"/>
              <w:rPr>
                <w:rFonts w:ascii="方正楷体_GBK" w:hAnsi="Times New Roman" w:eastAsia="方正楷体_GBK"/>
                <w:bCs/>
                <w:szCs w:val="21"/>
              </w:rPr>
            </w:pPr>
          </w:p>
          <w:p>
            <w:pPr>
              <w:snapToGrid w:val="0"/>
              <w:ind w:right="1890"/>
              <w:jc w:val="right"/>
              <w:rPr>
                <w:rFonts w:ascii="方正楷体_GBK" w:hAnsi="Times New Roman" w:eastAsia="方正楷体_GBK"/>
                <w:bCs/>
                <w:szCs w:val="21"/>
              </w:rPr>
            </w:pPr>
          </w:p>
          <w:p>
            <w:pPr>
              <w:snapToGrid w:val="0"/>
              <w:ind w:right="1890"/>
              <w:jc w:val="right"/>
              <w:rPr>
                <w:rFonts w:ascii="方正楷体_GBK" w:hAnsi="Times New Roman" w:eastAsia="方正楷体_GBK"/>
                <w:bCs/>
                <w:szCs w:val="21"/>
              </w:rPr>
            </w:pPr>
          </w:p>
          <w:p>
            <w:pPr>
              <w:snapToGrid w:val="0"/>
              <w:ind w:right="1890"/>
              <w:jc w:val="right"/>
              <w:rPr>
                <w:rFonts w:ascii="方正楷体_GBK" w:hAnsi="Times New Roman" w:eastAsia="方正楷体_GBK"/>
                <w:bCs/>
                <w:szCs w:val="21"/>
              </w:rPr>
            </w:pPr>
          </w:p>
          <w:p>
            <w:pPr>
              <w:snapToGrid w:val="0"/>
              <w:ind w:right="1890"/>
              <w:jc w:val="right"/>
              <w:rPr>
                <w:rFonts w:ascii="方正楷体_GBK" w:hAnsi="Times New Roman" w:eastAsia="方正楷体_GBK"/>
                <w:bCs/>
                <w:szCs w:val="21"/>
              </w:rPr>
            </w:pPr>
          </w:p>
          <w:p>
            <w:pPr>
              <w:wordWrap w:val="0"/>
              <w:snapToGrid w:val="0"/>
              <w:ind w:right="175"/>
              <w:jc w:val="right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 xml:space="preserve">（盖  章） </w:t>
            </w:r>
          </w:p>
          <w:p>
            <w:pPr>
              <w:snapToGrid w:val="0"/>
              <w:ind w:right="175"/>
              <w:jc w:val="right"/>
              <w:rPr>
                <w:rFonts w:ascii="方正楷体_GBK" w:eastAsia="方正楷体_GBK" w:cs="Calibri"/>
                <w:bCs/>
                <w:szCs w:val="21"/>
                <w:lang w:bidi="ar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年  月  日</w:t>
            </w:r>
          </w:p>
        </w:tc>
      </w:tr>
    </w:tbl>
    <w:p>
      <w:pPr>
        <w:rPr>
          <w:rFonts w:ascii="Times New Roman" w:hAnsi="Times New Roman"/>
        </w:rPr>
      </w:pPr>
    </w:p>
    <w:p>
      <w:pPr>
        <w:widowControl/>
        <w:jc w:val="left"/>
        <w:rPr>
          <w:rFonts w:ascii="Times New Roman" w:hAnsi="Times New Roman" w:eastAsia="方正小标宋简体"/>
          <w:sz w:val="28"/>
        </w:rPr>
      </w:pPr>
      <w:r>
        <w:rPr>
          <w:rFonts w:ascii="Times New Roman" w:hAnsi="Times New Roman" w:eastAsia="方正小标宋简体"/>
          <w:sz w:val="28"/>
        </w:rPr>
        <w:br w:type="page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zNjZlY2U1NGE1ZDRmNmRlODNmNWM3MGY4NWRkYzIifQ=="/>
  </w:docVars>
  <w:rsids>
    <w:rsidRoot w:val="43470DA5"/>
    <w:rsid w:val="132640ED"/>
    <w:rsid w:val="43470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2024-03-23T11:43:00Z</dcterms:created>
  <dc:creator>ZWX</dc:creator>
  <cp:lastModifiedBy>ZWX</cp:lastModifiedBy>
  <dcterms:modified xsi:type="dcterms:W3CDTF">2024-03-23T11:50:13Z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629F5F5FF4674CF3875C9ABA13D670D6_11</vt:lpwstr>
  </property>
</Properties>
</file>